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bookmarkStart w:id="0" w:name="_GoBack"/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r w:rsidRPr="009C3BF8">
        <w:rPr>
          <w:szCs w:val="28"/>
        </w:rPr>
        <w:t xml:space="preserve">по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bookmarkEnd w:id="0"/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>в учреждениях образования требует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7FD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A47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 xml:space="preserve">? От ответа будет зависеть формат мероприятия: концепция, время </w:t>
      </w:r>
      <w:r w:rsidRPr="00AA47FD">
        <w:rPr>
          <w:rFonts w:ascii="Times New Roman" w:hAnsi="Times New Roman" w:cs="Times New Roman"/>
          <w:sz w:val="28"/>
          <w:szCs w:val="28"/>
        </w:rPr>
        <w:lastRenderedPageBreak/>
        <w:t>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молодежи </w:t>
      </w:r>
      <w:r>
        <w:rPr>
          <w:sz w:val="28"/>
          <w:szCs w:val="28"/>
        </w:rPr>
        <w:t xml:space="preserve"> в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proofErr w:type="gramStart"/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>тчик вопросов», видеоролик (презентация) о приглашенной персоне «Знакомьтесь –  ….», выбор лучшего вопроса</w:t>
      </w:r>
      <w:r>
        <w:rPr>
          <w:sz w:val="30"/>
          <w:szCs w:val="30"/>
        </w:rPr>
        <w:t>.</w:t>
      </w:r>
      <w:proofErr w:type="gramEnd"/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«Пресс-конференция» — форма информационного часа с элементами ролевой игры. </w:t>
      </w:r>
      <w:proofErr w:type="gramStart"/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  <w:proofErr w:type="gramEnd"/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</w:t>
      </w:r>
      <w:proofErr w:type="gramStart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пресс-турнира</w:t>
      </w:r>
      <w:proofErr w:type="gramEnd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proofErr w:type="gramStart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</w:t>
      </w:r>
      <w:proofErr w:type="gramEnd"/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интернет-сообщества</w:t>
      </w:r>
      <w:proofErr w:type="gramEnd"/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плакаты и раздать </w:t>
      </w:r>
      <w:proofErr w:type="spell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флаеры</w:t>
      </w:r>
      <w:proofErr w:type="spell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DD" w:rsidRDefault="005455DD" w:rsidP="008F3D01">
      <w:pPr>
        <w:spacing w:after="0" w:line="240" w:lineRule="auto"/>
      </w:pPr>
      <w:r>
        <w:separator/>
      </w:r>
    </w:p>
  </w:endnote>
  <w:endnote w:type="continuationSeparator" w:id="0">
    <w:p w:rsidR="005455DD" w:rsidRDefault="005455DD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DD" w:rsidRDefault="005455DD" w:rsidP="008F3D01">
      <w:pPr>
        <w:spacing w:after="0" w:line="240" w:lineRule="auto"/>
      </w:pPr>
      <w:r>
        <w:separator/>
      </w:r>
    </w:p>
  </w:footnote>
  <w:footnote w:type="continuationSeparator" w:id="0">
    <w:p w:rsidR="005455DD" w:rsidRDefault="005455DD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31582"/>
      <w:docPartObj>
        <w:docPartGallery w:val="Page Numbers (Top of Page)"/>
        <w:docPartUnique/>
      </w:docPartObj>
    </w:sdtPr>
    <w:sdtEndPr/>
    <w:sdtContent>
      <w:p w:rsidR="008F3D01" w:rsidRDefault="008F3D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79">
          <w:rPr>
            <w:noProof/>
          </w:rPr>
          <w:t>5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455DD"/>
    <w:rsid w:val="00581D21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7FEE"/>
    <w:rsid w:val="008C04D8"/>
    <w:rsid w:val="008D5FA4"/>
    <w:rsid w:val="008F3D01"/>
    <w:rsid w:val="009001AA"/>
    <w:rsid w:val="00974B5A"/>
    <w:rsid w:val="009C3BF8"/>
    <w:rsid w:val="009E0C6A"/>
    <w:rsid w:val="00A04793"/>
    <w:rsid w:val="00A17B3C"/>
    <w:rsid w:val="00A2438E"/>
    <w:rsid w:val="00A25740"/>
    <w:rsid w:val="00A401E9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911E4"/>
    <w:rsid w:val="00B979F4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61A79"/>
    <w:rsid w:val="00C75950"/>
    <w:rsid w:val="00C84FF1"/>
    <w:rsid w:val="00C86D7B"/>
    <w:rsid w:val="00C90B5D"/>
    <w:rsid w:val="00CD65E1"/>
    <w:rsid w:val="00CE616F"/>
    <w:rsid w:val="00D01865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User</cp:lastModifiedBy>
  <cp:revision>2</cp:revision>
  <cp:lastPrinted>2018-08-20T07:11:00Z</cp:lastPrinted>
  <dcterms:created xsi:type="dcterms:W3CDTF">2018-09-19T05:38:00Z</dcterms:created>
  <dcterms:modified xsi:type="dcterms:W3CDTF">2018-09-19T05:38:00Z</dcterms:modified>
</cp:coreProperties>
</file>